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01" w:rsidRPr="002278F1" w:rsidRDefault="00326601" w:rsidP="00326601">
      <w:pPr>
        <w:rPr>
          <w:b/>
          <w:sz w:val="28"/>
          <w:szCs w:val="28"/>
          <w:u w:val="single"/>
        </w:rPr>
      </w:pPr>
      <w:r w:rsidRPr="002278F1">
        <w:rPr>
          <w:b/>
          <w:sz w:val="28"/>
          <w:szCs w:val="28"/>
          <w:u w:val="single"/>
        </w:rPr>
        <w:t>Regarde les trois vidéos qui t’ont été désignées</w:t>
      </w:r>
      <w:r>
        <w:rPr>
          <w:b/>
          <w:sz w:val="28"/>
          <w:szCs w:val="28"/>
          <w:u w:val="single"/>
        </w:rPr>
        <w:t xml:space="preserve">, trouve quelle technique lui correspond, souligne dans la définition les éléments de la vidéo qui t’ont permis de répondre. </w:t>
      </w:r>
      <w:r w:rsidRPr="002278F1">
        <w:rPr>
          <w:b/>
          <w:sz w:val="28"/>
          <w:szCs w:val="28"/>
          <w:u w:val="single"/>
        </w:rPr>
        <w:t xml:space="preserve"> </w:t>
      </w:r>
    </w:p>
    <w:tbl>
      <w:tblPr>
        <w:tblStyle w:val="Grilledutableau"/>
        <w:tblW w:w="0" w:type="auto"/>
        <w:tblLook w:val="04A0" w:firstRow="1" w:lastRow="0" w:firstColumn="1" w:lastColumn="0" w:noHBand="0" w:noVBand="1"/>
      </w:tblPr>
      <w:tblGrid>
        <w:gridCol w:w="9606"/>
        <w:gridCol w:w="1000"/>
        <w:gridCol w:w="4953"/>
      </w:tblGrid>
      <w:tr w:rsidR="00326601" w:rsidRPr="00326601" w:rsidTr="0028424E">
        <w:tc>
          <w:tcPr>
            <w:tcW w:w="9606" w:type="dxa"/>
          </w:tcPr>
          <w:p w:rsidR="00326601" w:rsidRPr="00326601" w:rsidRDefault="00326601" w:rsidP="0028424E">
            <w:pPr>
              <w:rPr>
                <w:b/>
                <w:i/>
                <w:sz w:val="18"/>
                <w:szCs w:val="18"/>
              </w:rPr>
            </w:pPr>
            <w:r w:rsidRPr="00326601">
              <w:rPr>
                <w:b/>
                <w:i/>
                <w:sz w:val="18"/>
                <w:szCs w:val="18"/>
              </w:rPr>
              <w:t>Définition</w:t>
            </w:r>
          </w:p>
        </w:tc>
        <w:tc>
          <w:tcPr>
            <w:tcW w:w="1000" w:type="dxa"/>
          </w:tcPr>
          <w:p w:rsidR="00326601" w:rsidRPr="00326601" w:rsidRDefault="00326601" w:rsidP="0028424E">
            <w:pPr>
              <w:rPr>
                <w:b/>
                <w:i/>
                <w:sz w:val="18"/>
                <w:szCs w:val="18"/>
              </w:rPr>
            </w:pPr>
            <w:r w:rsidRPr="00326601">
              <w:rPr>
                <w:b/>
                <w:i/>
                <w:sz w:val="18"/>
                <w:szCs w:val="18"/>
              </w:rPr>
              <w:t>Vidéo</w:t>
            </w:r>
          </w:p>
        </w:tc>
        <w:tc>
          <w:tcPr>
            <w:tcW w:w="4953" w:type="dxa"/>
          </w:tcPr>
          <w:p w:rsidR="00326601" w:rsidRPr="00326601" w:rsidRDefault="00326601" w:rsidP="0028424E">
            <w:pPr>
              <w:rPr>
                <w:b/>
                <w:i/>
                <w:sz w:val="18"/>
                <w:szCs w:val="18"/>
              </w:rPr>
            </w:pPr>
            <w:r w:rsidRPr="00326601">
              <w:rPr>
                <w:b/>
                <w:i/>
                <w:sz w:val="18"/>
                <w:szCs w:val="18"/>
              </w:rPr>
              <w:t>Image</w:t>
            </w: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color w:val="000000"/>
                <w:sz w:val="18"/>
                <w:szCs w:val="18"/>
              </w:rPr>
              <w:t>1-La marionnette à gaine</w:t>
            </w:r>
          </w:p>
          <w:p w:rsidR="00326601" w:rsidRPr="00326601" w:rsidRDefault="00326601" w:rsidP="00326601">
            <w:pPr>
              <w:pStyle w:val="NormalWeb"/>
              <w:spacing w:after="0"/>
              <w:rPr>
                <w:sz w:val="18"/>
                <w:szCs w:val="18"/>
              </w:rPr>
            </w:pPr>
            <w:r w:rsidRPr="00326601">
              <w:rPr>
                <w:rFonts w:ascii="Arial" w:hAnsi="Arial" w:cs="Arial"/>
                <w:sz w:val="18"/>
                <w:szCs w:val="18"/>
              </w:rPr>
              <w:t>C’est la marionnette traditionnelle en Europe. Son représentant le plus connu est Guignol en France.  Les personnages sont dotés des mêmes traits de caractère : espiègles, fanfarons, roublards et provocateurs, ils défient l’ordre établi ou la morale. Ces spectacles sont traditionnellement présentés sur les places publiques. Ils laissent place à l’improvisation et permettent aux marionnettistes de s’adapter au public et de s’inspirer de l’actualité locale. On la manipule en l’enfilant sur l’avant-bras levé au-dessus de la tête, et traditionnellement caché derrière un castelet.</w:t>
            </w: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sz w:val="18"/>
                <w:szCs w:val="18"/>
              </w:rPr>
              <w:t>2-Le bunraku</w:t>
            </w:r>
          </w:p>
          <w:p w:rsidR="00326601" w:rsidRPr="00326601" w:rsidRDefault="00326601" w:rsidP="00326601">
            <w:pPr>
              <w:pStyle w:val="NormalWeb"/>
              <w:spacing w:after="0"/>
              <w:rPr>
                <w:sz w:val="18"/>
                <w:szCs w:val="18"/>
              </w:rPr>
            </w:pPr>
            <w:r w:rsidRPr="00326601">
              <w:rPr>
                <w:rFonts w:ascii="Arial" w:hAnsi="Arial" w:cs="Arial"/>
                <w:sz w:val="18"/>
                <w:szCs w:val="18"/>
              </w:rPr>
              <w:t>Théâtre traditionnel japonais, le bunraku est interprété par un seul récitant qui chante tous les rôles, un musicien et des marionnettes de grande taille qui se manipulent généralement à trois.</w:t>
            </w: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p w:rsidR="00326601" w:rsidRPr="00326601" w:rsidRDefault="00326601" w:rsidP="0028424E">
            <w:pPr>
              <w:rPr>
                <w:noProof/>
                <w:sz w:val="18"/>
                <w:szCs w:val="18"/>
                <w:lang w:eastAsia="fr-FR"/>
              </w:rPr>
            </w:pPr>
          </w:p>
          <w:p w:rsidR="00326601" w:rsidRPr="00326601" w:rsidRDefault="00326601" w:rsidP="0028424E">
            <w:pPr>
              <w:rPr>
                <w:noProof/>
                <w:sz w:val="18"/>
                <w:szCs w:val="18"/>
                <w:lang w:eastAsia="fr-FR"/>
              </w:rPr>
            </w:pPr>
          </w:p>
          <w:p w:rsidR="00326601" w:rsidRPr="00326601" w:rsidRDefault="00326601" w:rsidP="0028424E">
            <w:pPr>
              <w:rPr>
                <w:noProof/>
                <w:sz w:val="18"/>
                <w:szCs w:val="18"/>
                <w:lang w:eastAsia="fr-FR"/>
              </w:rPr>
            </w:pPr>
          </w:p>
          <w:p w:rsidR="00326601" w:rsidRPr="00326601" w:rsidRDefault="00326601" w:rsidP="0028424E">
            <w:pPr>
              <w:rPr>
                <w:sz w:val="18"/>
                <w:szCs w:val="18"/>
              </w:rPr>
            </w:pPr>
          </w:p>
          <w:p w:rsidR="00326601" w:rsidRPr="00326601" w:rsidRDefault="00326601" w:rsidP="0028424E">
            <w:pPr>
              <w:rPr>
                <w:sz w:val="18"/>
                <w:szCs w:val="18"/>
              </w:rPr>
            </w:pP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sz w:val="18"/>
                <w:szCs w:val="18"/>
              </w:rPr>
              <w:t>3-La marionnette portée ou marionnette corporelle</w:t>
            </w:r>
          </w:p>
          <w:p w:rsidR="00326601" w:rsidRPr="00326601" w:rsidRDefault="00326601" w:rsidP="0028424E">
            <w:pPr>
              <w:pStyle w:val="NormalWeb"/>
              <w:spacing w:after="0"/>
              <w:rPr>
                <w:rFonts w:ascii="Arial" w:hAnsi="Arial" w:cs="Arial"/>
                <w:sz w:val="18"/>
                <w:szCs w:val="18"/>
              </w:rPr>
            </w:pPr>
            <w:r w:rsidRPr="00326601">
              <w:rPr>
                <w:rFonts w:ascii="Arial" w:hAnsi="Arial" w:cs="Arial"/>
                <w:sz w:val="18"/>
                <w:szCs w:val="18"/>
              </w:rPr>
              <w:t xml:space="preserve">Le corps du marionnettiste se fond dans la marionnette qui est fixée sur lui. Il utilise généralement ses bras et/ou ses jambes et/ou son corps comme étant ceux de la marionnette. Cela lui confère une grande force et parfois un sentiment </w:t>
            </w:r>
            <w:proofErr w:type="spellStart"/>
            <w:r w:rsidRPr="00326601">
              <w:rPr>
                <w:rFonts w:ascii="Arial" w:hAnsi="Arial" w:cs="Arial"/>
                <w:sz w:val="18"/>
                <w:szCs w:val="18"/>
              </w:rPr>
              <w:t>d.’étrangeté</w:t>
            </w:r>
            <w:proofErr w:type="spellEnd"/>
            <w:r w:rsidRPr="00326601">
              <w:rPr>
                <w:rFonts w:ascii="Arial" w:hAnsi="Arial" w:cs="Arial"/>
                <w:sz w:val="18"/>
                <w:szCs w:val="18"/>
              </w:rPr>
              <w:t xml:space="preserve">. </w:t>
            </w:r>
            <w:proofErr w:type="spellStart"/>
            <w:r w:rsidRPr="00326601">
              <w:rPr>
                <w:rFonts w:ascii="Arial" w:hAnsi="Arial" w:cs="Arial"/>
                <w:sz w:val="18"/>
                <w:szCs w:val="18"/>
              </w:rPr>
              <w:t>L.’une</w:t>
            </w:r>
            <w:proofErr w:type="spellEnd"/>
            <w:r w:rsidRPr="00326601">
              <w:rPr>
                <w:rFonts w:ascii="Arial" w:hAnsi="Arial" w:cs="Arial"/>
                <w:sz w:val="18"/>
                <w:szCs w:val="18"/>
              </w:rPr>
              <w:t xml:space="preserve"> des marionnettistes les plus emblématiques de marionnette portée est Ilka Schönbein.</w:t>
            </w:r>
          </w:p>
          <w:p w:rsidR="00326601" w:rsidRPr="00326601" w:rsidRDefault="00326601" w:rsidP="0028424E">
            <w:pPr>
              <w:rPr>
                <w:sz w:val="18"/>
                <w:szCs w:val="18"/>
              </w:rPr>
            </w:pP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sz w:val="18"/>
                <w:szCs w:val="18"/>
              </w:rPr>
              <w:t>4-La marionnette sur table</w:t>
            </w:r>
          </w:p>
          <w:p w:rsidR="00326601" w:rsidRPr="00326601" w:rsidRDefault="00326601" w:rsidP="00326601">
            <w:pPr>
              <w:pStyle w:val="NormalWeb"/>
              <w:spacing w:after="0"/>
              <w:rPr>
                <w:sz w:val="18"/>
                <w:szCs w:val="18"/>
              </w:rPr>
            </w:pPr>
            <w:r w:rsidRPr="00326601">
              <w:rPr>
                <w:rFonts w:ascii="Arial" w:hAnsi="Arial" w:cs="Arial"/>
                <w:sz w:val="18"/>
                <w:szCs w:val="18"/>
              </w:rPr>
              <w:t xml:space="preserve">Fortement inspirée par le bunraku, sa particularité est de jouer sur un espace à hauteur de taille, qui intègre généralement le décor. Elle peut prendre différentes formes et utiliser différentes techniques en fonction de sa conception et de sa taille. Selon son degré de complexité, le corps et les membres sont plus ou moins articulées. Le manipulateur, « à vue », peut s’effacer derrière la marionnette ou au contraire tenir en même temps le rôle </w:t>
            </w:r>
            <w:proofErr w:type="spellStart"/>
            <w:r w:rsidRPr="00326601">
              <w:rPr>
                <w:rFonts w:ascii="Arial" w:hAnsi="Arial" w:cs="Arial"/>
                <w:sz w:val="18"/>
                <w:szCs w:val="18"/>
              </w:rPr>
              <w:t>d.’un</w:t>
            </w:r>
            <w:proofErr w:type="spellEnd"/>
            <w:r w:rsidRPr="00326601">
              <w:rPr>
                <w:rFonts w:ascii="Arial" w:hAnsi="Arial" w:cs="Arial"/>
                <w:sz w:val="18"/>
                <w:szCs w:val="18"/>
              </w:rPr>
              <w:t xml:space="preserve"> personnage à part entière.</w:t>
            </w:r>
          </w:p>
          <w:p w:rsidR="00326601" w:rsidRPr="00326601" w:rsidRDefault="00326601" w:rsidP="0028424E">
            <w:pPr>
              <w:rPr>
                <w:sz w:val="18"/>
                <w:szCs w:val="18"/>
              </w:rPr>
            </w:pP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color w:val="000000"/>
                <w:sz w:val="18"/>
                <w:szCs w:val="18"/>
              </w:rPr>
              <w:t>5-La marionnette d’ombre</w:t>
            </w:r>
          </w:p>
          <w:p w:rsidR="00326601" w:rsidRPr="00326601" w:rsidRDefault="00326601" w:rsidP="00326601">
            <w:pPr>
              <w:pStyle w:val="NormalWeb"/>
              <w:spacing w:after="0"/>
              <w:rPr>
                <w:sz w:val="18"/>
                <w:szCs w:val="18"/>
              </w:rPr>
            </w:pPr>
            <w:r w:rsidRPr="00326601">
              <w:rPr>
                <w:rFonts w:ascii="Arial" w:hAnsi="Arial" w:cs="Arial"/>
                <w:sz w:val="18"/>
                <w:szCs w:val="18"/>
              </w:rPr>
              <w:t xml:space="preserve">Plus répandue en Asie ou à l’est de l’Europe, cette marionnette se manipule à l’aide de baguettes qui permettent de la mettre en mouvement. L’ombre est projetée sur un tissu blanc ou un </w:t>
            </w:r>
            <w:proofErr w:type="spellStart"/>
            <w:r w:rsidRPr="00326601">
              <w:rPr>
                <w:rFonts w:ascii="Arial" w:hAnsi="Arial" w:cs="Arial"/>
                <w:sz w:val="18"/>
                <w:szCs w:val="18"/>
              </w:rPr>
              <w:t>cyclorama</w:t>
            </w:r>
            <w:proofErr w:type="spellEnd"/>
            <w:r w:rsidRPr="00326601">
              <w:rPr>
                <w:rFonts w:ascii="Arial" w:hAnsi="Arial" w:cs="Arial"/>
                <w:sz w:val="18"/>
                <w:szCs w:val="18"/>
              </w:rPr>
              <w:t xml:space="preserve"> (écran de type cinéma) en utilisant un projecteur placé derrière le tissu.</w:t>
            </w: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sz w:val="18"/>
                <w:szCs w:val="18"/>
              </w:rPr>
              <w:t>6-Les Muppets</w:t>
            </w:r>
          </w:p>
          <w:p w:rsidR="00326601" w:rsidRPr="00326601" w:rsidRDefault="00326601" w:rsidP="0028424E">
            <w:pPr>
              <w:pStyle w:val="NormalWeb"/>
              <w:spacing w:after="0"/>
              <w:rPr>
                <w:rFonts w:ascii="Arial" w:hAnsi="Arial" w:cs="Arial"/>
                <w:sz w:val="18"/>
                <w:szCs w:val="18"/>
              </w:rPr>
            </w:pPr>
            <w:r w:rsidRPr="00326601">
              <w:rPr>
                <w:rFonts w:ascii="Arial" w:hAnsi="Arial" w:cs="Arial"/>
                <w:sz w:val="18"/>
                <w:szCs w:val="18"/>
              </w:rPr>
              <w:t xml:space="preserve">Leur nom est la contraction de marionnette et de </w:t>
            </w:r>
            <w:proofErr w:type="spellStart"/>
            <w:r w:rsidRPr="00326601">
              <w:rPr>
                <w:rFonts w:ascii="Arial" w:hAnsi="Arial" w:cs="Arial"/>
                <w:sz w:val="18"/>
                <w:szCs w:val="18"/>
              </w:rPr>
              <w:t>puppet</w:t>
            </w:r>
            <w:proofErr w:type="spellEnd"/>
            <w:r w:rsidRPr="00326601">
              <w:rPr>
                <w:rFonts w:ascii="Arial" w:hAnsi="Arial" w:cs="Arial"/>
                <w:sz w:val="18"/>
                <w:szCs w:val="18"/>
              </w:rPr>
              <w:t>. Elles sont très connues car médiatisées notamment par le Muppets Show. Elles sont construites comme une marionnette à gaine et disposent d’une bouche articulée. Certaines associent d’autres techniques pour affiner les possibilités de manipulation. C’est le cas par exemple des Guignols de l’info.</w:t>
            </w:r>
          </w:p>
          <w:p w:rsidR="00326601" w:rsidRPr="00326601" w:rsidRDefault="00326601" w:rsidP="0028424E">
            <w:pPr>
              <w:pStyle w:val="NormalWeb"/>
              <w:spacing w:after="0"/>
              <w:rPr>
                <w:rFonts w:ascii="Arial" w:hAnsi="Arial" w:cs="Arial"/>
                <w:sz w:val="18"/>
                <w:szCs w:val="18"/>
              </w:rPr>
            </w:pPr>
          </w:p>
          <w:p w:rsidR="00326601" w:rsidRPr="00326601" w:rsidRDefault="00326601" w:rsidP="0028424E">
            <w:pPr>
              <w:rPr>
                <w:sz w:val="18"/>
                <w:szCs w:val="18"/>
              </w:rPr>
            </w:pP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sz w:val="18"/>
                <w:szCs w:val="18"/>
              </w:rPr>
              <w:t>7-La marionnette à tringle</w:t>
            </w:r>
          </w:p>
          <w:p w:rsidR="00326601" w:rsidRPr="00326601" w:rsidRDefault="00326601" w:rsidP="00326601">
            <w:pPr>
              <w:pStyle w:val="NormalWeb"/>
              <w:spacing w:after="0"/>
              <w:rPr>
                <w:sz w:val="18"/>
                <w:szCs w:val="18"/>
              </w:rPr>
            </w:pPr>
            <w:r w:rsidRPr="00326601">
              <w:rPr>
                <w:rFonts w:ascii="Arial" w:hAnsi="Arial" w:cs="Arial"/>
                <w:sz w:val="18"/>
                <w:szCs w:val="18"/>
              </w:rPr>
              <w:lastRenderedPageBreak/>
              <w:t>En Europe, elle est surtout utilisée pour conter les histoires saintes, les légendes, les épopées historiques. Les épisodes qui se succèdent sont présentés chaque soir, à la façon d’un feuilleton. La marionnette est manipulée par le dessus grâce à une tringle plantée dans la tête de la marionnette. Parfois, des baguettes ou des fils sont ajoutés aux bras pour offrir plus de possibilités à la marionnette. Leurs pieds qui martèlent le plancher d’un bruit sec donnent une vigueur sans pareille notamment lors des scènes de batailles.</w:t>
            </w: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sz w:val="18"/>
                <w:szCs w:val="18"/>
              </w:rPr>
              <w:lastRenderedPageBreak/>
              <w:t>8-Le théâtre d’objet</w:t>
            </w:r>
          </w:p>
          <w:p w:rsidR="00326601" w:rsidRPr="00326601" w:rsidRDefault="00326601" w:rsidP="00326601">
            <w:pPr>
              <w:pStyle w:val="NormalWeb"/>
              <w:spacing w:after="0"/>
              <w:rPr>
                <w:rFonts w:ascii="ArialNarrow-Bold" w:hAnsi="ArialNarrow-Bold"/>
                <w:bCs/>
                <w:sz w:val="18"/>
                <w:szCs w:val="18"/>
              </w:rPr>
            </w:pPr>
            <w:r w:rsidRPr="00326601">
              <w:rPr>
                <w:rFonts w:ascii="Arial" w:hAnsi="Arial" w:cs="Arial"/>
                <w:sz w:val="18"/>
                <w:szCs w:val="18"/>
              </w:rPr>
              <w:t xml:space="preserve">Apparu dans les années 40 en Allemagne, le théâtre </w:t>
            </w:r>
            <w:proofErr w:type="spellStart"/>
            <w:r w:rsidRPr="00326601">
              <w:rPr>
                <w:rFonts w:ascii="Arial" w:hAnsi="Arial" w:cs="Arial"/>
                <w:sz w:val="18"/>
                <w:szCs w:val="18"/>
              </w:rPr>
              <w:t>d.’objet</w:t>
            </w:r>
            <w:proofErr w:type="spellEnd"/>
            <w:r w:rsidRPr="00326601">
              <w:rPr>
                <w:rFonts w:ascii="Arial" w:hAnsi="Arial" w:cs="Arial"/>
                <w:sz w:val="18"/>
                <w:szCs w:val="18"/>
              </w:rPr>
              <w:t xml:space="preserve"> détourne des objets de la vie courante à des fins poétiques. Ces objets sont soit utilisés à </w:t>
            </w:r>
            <w:proofErr w:type="spellStart"/>
            <w:r w:rsidRPr="00326601">
              <w:rPr>
                <w:rFonts w:ascii="Arial" w:hAnsi="Arial" w:cs="Arial"/>
                <w:sz w:val="18"/>
                <w:szCs w:val="18"/>
              </w:rPr>
              <w:t>l.’état</w:t>
            </w:r>
            <w:proofErr w:type="spellEnd"/>
            <w:r w:rsidRPr="00326601">
              <w:rPr>
                <w:rFonts w:ascii="Arial" w:hAnsi="Arial" w:cs="Arial"/>
                <w:sz w:val="18"/>
                <w:szCs w:val="18"/>
              </w:rPr>
              <w:t xml:space="preserve"> brut, soit transformés pour obtenir des formes plus figuratives. La frontière avec la marionnette est ambiguë, certains artistes rejetant le terme de marionnette au profit de celui de théâtre </w:t>
            </w:r>
            <w:proofErr w:type="spellStart"/>
            <w:r w:rsidRPr="00326601">
              <w:rPr>
                <w:rFonts w:ascii="Arial" w:hAnsi="Arial" w:cs="Arial"/>
                <w:sz w:val="18"/>
                <w:szCs w:val="18"/>
              </w:rPr>
              <w:t>d.’objet</w:t>
            </w:r>
            <w:proofErr w:type="spellEnd"/>
            <w:r w:rsidRPr="00326601">
              <w:rPr>
                <w:rFonts w:ascii="Arial" w:hAnsi="Arial" w:cs="Arial"/>
                <w:sz w:val="18"/>
                <w:szCs w:val="18"/>
              </w:rPr>
              <w:t>.</w:t>
            </w: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sz w:val="18"/>
                <w:szCs w:val="18"/>
              </w:rPr>
              <w:t>9-La marionnette à fil</w:t>
            </w:r>
          </w:p>
          <w:p w:rsidR="00326601" w:rsidRPr="00326601" w:rsidRDefault="00326601" w:rsidP="00326601">
            <w:pPr>
              <w:pStyle w:val="NormalWeb"/>
              <w:spacing w:after="0"/>
              <w:rPr>
                <w:rFonts w:ascii="ArialNarrow-Bold" w:hAnsi="ArialNarrow-Bold"/>
                <w:bCs/>
                <w:sz w:val="18"/>
                <w:szCs w:val="18"/>
              </w:rPr>
            </w:pPr>
            <w:r w:rsidRPr="00326601">
              <w:rPr>
                <w:rFonts w:ascii="Arial" w:hAnsi="Arial" w:cs="Arial"/>
                <w:sz w:val="18"/>
                <w:szCs w:val="18"/>
              </w:rPr>
              <w:t>Les plus raffinées viennent d’Asie mais c’est une tradition qui s’est aussi développée en Europe de l’Est (actuelle République tchèque). Ces marionnettes sont animées par une multitude de fils.</w:t>
            </w: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tc>
      </w:tr>
      <w:tr w:rsidR="00326601" w:rsidRPr="00326601" w:rsidTr="0028424E">
        <w:tc>
          <w:tcPr>
            <w:tcW w:w="9606" w:type="dxa"/>
          </w:tcPr>
          <w:p w:rsidR="00326601" w:rsidRPr="00326601" w:rsidRDefault="00326601" w:rsidP="0028424E">
            <w:pPr>
              <w:pStyle w:val="NormalWeb"/>
              <w:spacing w:after="0"/>
              <w:rPr>
                <w:b/>
                <w:sz w:val="18"/>
                <w:szCs w:val="18"/>
              </w:rPr>
            </w:pPr>
            <w:r w:rsidRPr="00326601">
              <w:rPr>
                <w:rFonts w:ascii="ArialNarrow-Bold" w:hAnsi="ArialNarrow-Bold"/>
                <w:b/>
                <w:bCs/>
                <w:color w:val="000000"/>
                <w:sz w:val="18"/>
                <w:szCs w:val="18"/>
              </w:rPr>
              <w:t>10-Les marionnettes géantes</w:t>
            </w:r>
          </w:p>
          <w:p w:rsidR="00326601" w:rsidRPr="00326601" w:rsidRDefault="00326601" w:rsidP="0028424E">
            <w:pPr>
              <w:pStyle w:val="NormalWeb"/>
              <w:spacing w:after="0"/>
              <w:rPr>
                <w:sz w:val="18"/>
                <w:szCs w:val="18"/>
              </w:rPr>
            </w:pPr>
            <w:r w:rsidRPr="00326601">
              <w:rPr>
                <w:rFonts w:ascii="Arial" w:hAnsi="Arial" w:cs="Arial"/>
                <w:color w:val="000000"/>
                <w:sz w:val="18"/>
                <w:szCs w:val="18"/>
              </w:rPr>
              <w:t xml:space="preserve">De nouvelles marionnettes sont apparues dans les années 80. Elles sont de taille gigantesque et nécessitent plusieurs manipulateurs pour actionner les différents systèmes qui les mettent en mouvement. </w:t>
            </w:r>
            <w:bookmarkStart w:id="0" w:name="_GoBack"/>
            <w:bookmarkEnd w:id="0"/>
          </w:p>
          <w:p w:rsidR="00326601" w:rsidRPr="00326601" w:rsidRDefault="00326601" w:rsidP="0028424E">
            <w:pPr>
              <w:pStyle w:val="NormalWeb"/>
              <w:spacing w:after="0"/>
              <w:rPr>
                <w:rFonts w:ascii="ArialNarrow-Bold" w:hAnsi="ArialNarrow-Bold"/>
                <w:bCs/>
                <w:sz w:val="18"/>
                <w:szCs w:val="18"/>
              </w:rPr>
            </w:pPr>
          </w:p>
        </w:tc>
        <w:tc>
          <w:tcPr>
            <w:tcW w:w="1000" w:type="dxa"/>
          </w:tcPr>
          <w:p w:rsidR="00326601" w:rsidRPr="00326601" w:rsidRDefault="00326601" w:rsidP="0028424E">
            <w:pPr>
              <w:rPr>
                <w:sz w:val="18"/>
                <w:szCs w:val="18"/>
              </w:rPr>
            </w:pPr>
          </w:p>
        </w:tc>
        <w:tc>
          <w:tcPr>
            <w:tcW w:w="4953" w:type="dxa"/>
          </w:tcPr>
          <w:p w:rsidR="00326601" w:rsidRPr="00326601" w:rsidRDefault="00326601" w:rsidP="0028424E">
            <w:pPr>
              <w:rPr>
                <w:sz w:val="18"/>
                <w:szCs w:val="18"/>
              </w:rPr>
            </w:pPr>
          </w:p>
        </w:tc>
      </w:tr>
    </w:tbl>
    <w:p w:rsidR="00466249" w:rsidRPr="00326601" w:rsidRDefault="00466249">
      <w:pPr>
        <w:rPr>
          <w:sz w:val="18"/>
          <w:szCs w:val="18"/>
        </w:rPr>
      </w:pPr>
    </w:p>
    <w:sectPr w:rsidR="00466249" w:rsidRPr="00326601" w:rsidSect="0032660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01"/>
    <w:rsid w:val="00326601"/>
    <w:rsid w:val="00466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6601"/>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26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6601"/>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26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3399</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Osouf</dc:creator>
  <cp:lastModifiedBy>famille Osouf</cp:lastModifiedBy>
  <cp:revision>1</cp:revision>
  <dcterms:created xsi:type="dcterms:W3CDTF">2012-02-06T15:00:00Z</dcterms:created>
  <dcterms:modified xsi:type="dcterms:W3CDTF">2012-02-06T15:02:00Z</dcterms:modified>
</cp:coreProperties>
</file>